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13" w:rsidRDefault="00D77413">
      <w:pPr>
        <w:rPr>
          <w:rFonts w:eastAsia="ＭＳ ゴシック"/>
          <w:sz w:val="36"/>
        </w:rPr>
      </w:pPr>
      <w:bookmarkStart w:id="0" w:name="_GoBack"/>
      <w:bookmarkEnd w:id="0"/>
      <w:r>
        <w:rPr>
          <w:rFonts w:eastAsia="ＭＳ ゴシック" w:hint="eastAsia"/>
          <w:sz w:val="36"/>
        </w:rPr>
        <w:t>同志社大学大学院司法研究科</w:t>
      </w:r>
    </w:p>
    <w:p w:rsidR="00D77413" w:rsidRDefault="00D77413">
      <w:pPr>
        <w:snapToGrid w:val="0"/>
        <w:rPr>
          <w:rFonts w:eastAsia="ＭＳ ゴシック"/>
          <w:sz w:val="36"/>
        </w:rPr>
      </w:pPr>
      <w:r>
        <w:rPr>
          <w:rFonts w:ascii="ＭＳ ゴシック" w:eastAsia="ＭＳ ゴシック" w:hAnsi="ＭＳ ゴシック" w:hint="eastAsia"/>
          <w:sz w:val="36"/>
        </w:rPr>
        <w:t>2015</w:t>
      </w:r>
      <w:r>
        <w:rPr>
          <w:rFonts w:eastAsia="ＭＳ ゴシック" w:hint="eastAsia"/>
          <w:sz w:val="36"/>
        </w:rPr>
        <w:t>年度秋学期末試験問題</w:t>
      </w:r>
    </w:p>
    <w:p w:rsidR="00D77413" w:rsidRPr="004D18DB" w:rsidRDefault="00D77413" w:rsidP="00871191">
      <w:pPr>
        <w:snapToGrid w:val="0"/>
        <w:ind w:leftChars="-135" w:left="-283" w:firstLineChars="600" w:firstLine="1200"/>
        <w:rPr>
          <w:rFonts w:ascii="ＭＳ 明朝" w:hAnsi="ＭＳ 明朝"/>
          <w:sz w:val="20"/>
          <w:szCs w:val="20"/>
        </w:rPr>
      </w:pPr>
      <w:r>
        <w:rPr>
          <w:rFonts w:eastAsia="ＭＳ ゴシック"/>
          <w:noProof/>
          <w:sz w:val="20"/>
        </w:rPr>
        <mc:AlternateContent>
          <mc:Choice Requires="wps">
            <w:drawing>
              <wp:anchor distT="0" distB="0" distL="114300" distR="114300" simplePos="0" relativeHeight="251659264" behindDoc="0" locked="0" layoutInCell="1" allowOverlap="1" wp14:anchorId="6161D56A" wp14:editId="01452C69">
                <wp:simplePos x="0" y="0"/>
                <wp:positionH relativeFrom="column">
                  <wp:posOffset>0</wp:posOffset>
                </wp:positionH>
                <wp:positionV relativeFrom="paragraph">
                  <wp:posOffset>202565</wp:posOffset>
                </wp:positionV>
                <wp:extent cx="6172200" cy="0"/>
                <wp:effectExtent l="5715" t="13335" r="1333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2458D6"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5pt" to="48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0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"/>
            </w:pict>
          </mc:Fallback>
        </mc:AlternateContent>
      </w:r>
      <w:r>
        <w:rPr>
          <w:rFonts w:eastAsia="ＭＳ ゴシック"/>
          <w:sz w:val="36"/>
        </w:rPr>
        <w:br w:type="column"/>
      </w:r>
      <w:r w:rsidRPr="00EA2CF7">
        <w:rPr>
          <w:rFonts w:ascii="ＭＳ 明朝" w:hAnsi="ＭＳ 明朝" w:hint="eastAsia"/>
          <w:spacing w:val="50"/>
          <w:kern w:val="0"/>
          <w:sz w:val="20"/>
          <w:szCs w:val="20"/>
          <w:fitText w:val="800" w:id="203198464"/>
        </w:rPr>
        <w:lastRenderedPageBreak/>
        <w:t>科目</w:t>
      </w:r>
      <w:r w:rsidRPr="00EA2CF7">
        <w:rPr>
          <w:rFonts w:ascii="ＭＳ 明朝" w:hAnsi="ＭＳ 明朝" w:hint="eastAsia"/>
          <w:kern w:val="0"/>
          <w:sz w:val="20"/>
          <w:szCs w:val="20"/>
          <w:fitText w:val="800" w:id="203198464"/>
        </w:rPr>
        <w:t>名</w:t>
      </w:r>
      <w:r>
        <w:rPr>
          <w:rFonts w:ascii="ＭＳ 明朝" w:hAnsi="ＭＳ 明朝" w:hint="eastAsia"/>
          <w:sz w:val="20"/>
          <w:szCs w:val="20"/>
        </w:rPr>
        <w:t>：△</w:t>
      </w:r>
      <w:r w:rsidRPr="00B440F4">
        <w:rPr>
          <w:rFonts w:ascii="ＭＳ 明朝" w:hAnsi="ＭＳ 明朝" w:hint="eastAsia"/>
          <w:noProof/>
          <w:sz w:val="20"/>
          <w:szCs w:val="20"/>
        </w:rPr>
        <w:t>国際私法ＩＩ</w:t>
      </w:r>
    </w:p>
    <w:p w:rsidR="00D77413" w:rsidRDefault="00D77413" w:rsidP="00EA2CF7">
      <w:pPr>
        <w:snapToGrid w:val="0"/>
        <w:ind w:leftChars="-135" w:left="707" w:hangingChars="330" w:hanging="990"/>
        <w:rPr>
          <w:rFonts w:ascii="ＭＳ 明朝" w:hAnsi="ＭＳ 明朝"/>
          <w:sz w:val="20"/>
        </w:rPr>
      </w:pPr>
      <w:r w:rsidRPr="00EA2CF7">
        <w:rPr>
          <w:rFonts w:ascii="ＭＳ 明朝" w:hAnsi="ＭＳ 明朝" w:hint="eastAsia"/>
          <w:spacing w:val="50"/>
          <w:kern w:val="0"/>
          <w:sz w:val="20"/>
          <w:fitText w:val="800" w:id="203198720"/>
        </w:rPr>
        <w:t>担当</w:t>
      </w:r>
      <w:r w:rsidRPr="00EA2CF7">
        <w:rPr>
          <w:rFonts w:ascii="ＭＳ 明朝" w:hAnsi="ＭＳ 明朝" w:hint="eastAsia"/>
          <w:kern w:val="0"/>
          <w:sz w:val="20"/>
          <w:fitText w:val="800" w:id="203198720"/>
        </w:rPr>
        <w:t>者</w:t>
      </w:r>
      <w:r>
        <w:rPr>
          <w:rFonts w:ascii="ＭＳ 明朝" w:hAnsi="ＭＳ 明朝" w:hint="eastAsia"/>
          <w:sz w:val="20"/>
        </w:rPr>
        <w:t>：</w:t>
      </w:r>
      <w:r w:rsidRPr="00B440F4">
        <w:rPr>
          <w:rFonts w:ascii="ＭＳ 明朝" w:hAnsi="ＭＳ 明朝" w:hint="eastAsia"/>
          <w:noProof/>
          <w:sz w:val="20"/>
        </w:rPr>
        <w:t>高橋宏司</w:t>
      </w:r>
    </w:p>
    <w:p w:rsidR="00D77413" w:rsidRDefault="00D77413" w:rsidP="00B870FD">
      <w:pPr>
        <w:snapToGrid w:val="0"/>
        <w:ind w:leftChars="-135" w:left="717" w:rightChars="-109" w:right="-229" w:hangingChars="500" w:hanging="1000"/>
        <w:rPr>
          <w:rFonts w:ascii="ＭＳ 明朝" w:hAnsi="ＭＳ 明朝"/>
          <w:sz w:val="20"/>
        </w:rPr>
      </w:pPr>
      <w:r>
        <w:rPr>
          <w:rFonts w:ascii="ＭＳ 明朝" w:hAnsi="ＭＳ 明朝" w:hint="eastAsia"/>
          <w:sz w:val="20"/>
        </w:rPr>
        <w:t>持込参照：</w:t>
      </w:r>
      <w:r w:rsidRPr="00B440F4">
        <w:rPr>
          <w:rFonts w:ascii="ＭＳ 明朝" w:hAnsi="ＭＳ 明朝" w:hint="eastAsia"/>
          <w:noProof/>
          <w:sz w:val="18"/>
          <w:szCs w:val="18"/>
        </w:rPr>
        <w:t>一切不可（「司法試験用六法」を試験会場で貸与）</w:t>
      </w:r>
    </w:p>
    <w:p w:rsidR="00D77413" w:rsidRDefault="00D77413" w:rsidP="0032421D">
      <w:pPr>
        <w:snapToGrid w:val="0"/>
        <w:ind w:leftChars="-135" w:left="-283"/>
        <w:rPr>
          <w:rFonts w:ascii="ＭＳ 明朝" w:hAnsi="ＭＳ 明朝"/>
          <w:sz w:val="20"/>
        </w:rPr>
      </w:pPr>
      <w:r>
        <w:rPr>
          <w:rFonts w:ascii="ＭＳ 明朝" w:hAnsi="ＭＳ 明朝" w:hint="eastAsia"/>
          <w:sz w:val="20"/>
        </w:rPr>
        <w:t>試験時間：</w:t>
      </w:r>
      <w:r w:rsidRPr="00B440F4">
        <w:rPr>
          <w:rFonts w:ascii="ＭＳ 明朝" w:hAnsi="ＭＳ 明朝"/>
          <w:noProof/>
          <w:sz w:val="20"/>
        </w:rPr>
        <w:t>90</w:t>
      </w:r>
      <w:r>
        <w:rPr>
          <w:rFonts w:ascii="ＭＳ 明朝" w:hAnsi="ＭＳ 明朝" w:hint="eastAsia"/>
          <w:sz w:val="20"/>
        </w:rPr>
        <w:t>分</w:t>
      </w:r>
    </w:p>
    <w:p w:rsidR="00D77413" w:rsidRDefault="00D77413" w:rsidP="0032421D">
      <w:pPr>
        <w:snapToGrid w:val="0"/>
        <w:ind w:leftChars="-135" w:left="-283"/>
        <w:rPr>
          <w:rFonts w:ascii="ＭＳ 明朝" w:hAnsi="ＭＳ 明朝"/>
          <w:sz w:val="20"/>
        </w:rPr>
      </w:pPr>
      <w:r w:rsidRPr="00EA2CF7">
        <w:rPr>
          <w:rFonts w:ascii="ＭＳ 明朝" w:hAnsi="ＭＳ 明朝" w:hint="eastAsia"/>
          <w:spacing w:val="50"/>
          <w:kern w:val="0"/>
          <w:sz w:val="20"/>
          <w:fitText w:val="800" w:id="203198721"/>
        </w:rPr>
        <w:t>講評</w:t>
      </w:r>
      <w:r w:rsidRPr="00EA2CF7">
        <w:rPr>
          <w:rFonts w:ascii="ＭＳ 明朝" w:hAnsi="ＭＳ 明朝" w:hint="eastAsia"/>
          <w:kern w:val="0"/>
          <w:sz w:val="20"/>
          <w:fitText w:val="800" w:id="203198721"/>
        </w:rPr>
        <w:t>会</w:t>
      </w:r>
      <w:r>
        <w:rPr>
          <w:rFonts w:ascii="ＭＳ 明朝" w:hAnsi="ＭＳ 明朝" w:hint="eastAsia"/>
          <w:sz w:val="20"/>
        </w:rPr>
        <w:t>：</w:t>
      </w:r>
      <w:r w:rsidR="002214F2">
        <w:rPr>
          <w:rFonts w:ascii="ＭＳ 明朝" w:hAnsi="ＭＳ 明朝" w:hint="eastAsia"/>
          <w:sz w:val="20"/>
        </w:rPr>
        <w:t>2月15日3講時(</w:t>
      </w:r>
      <w:r w:rsidR="002214F2">
        <w:rPr>
          <w:rFonts w:ascii="ＭＳ 明朝" w:hAnsi="ＭＳ 明朝"/>
          <w:sz w:val="20"/>
        </w:rPr>
        <w:t>KMB208</w:t>
      </w:r>
      <w:r w:rsidR="002214F2">
        <w:rPr>
          <w:rFonts w:ascii="ＭＳ 明朝" w:hAnsi="ＭＳ 明朝" w:hint="eastAsia"/>
          <w:sz w:val="20"/>
        </w:rPr>
        <w:t>)</w:t>
      </w:r>
    </w:p>
    <w:p w:rsidR="00D77413" w:rsidRDefault="00D77413">
      <w:pPr>
        <w:ind w:rightChars="-141" w:right="-296"/>
        <w:rPr>
          <w:rFonts w:eastAsia="ＭＳ ゴシック"/>
          <w:sz w:val="32"/>
        </w:rPr>
        <w:sectPr w:rsidR="00D77413" w:rsidSect="00D77413">
          <w:pgSz w:w="11906" w:h="16838" w:code="9"/>
          <w:pgMar w:top="720" w:right="926" w:bottom="1701" w:left="1134" w:header="851" w:footer="992" w:gutter="0"/>
          <w:pgNumType w:start="1"/>
          <w:cols w:num="2" w:space="425" w:equalWidth="0">
            <w:col w:w="4716" w:space="540"/>
            <w:col w:w="4590"/>
          </w:cols>
          <w:docGrid w:type="lines" w:linePitch="360"/>
        </w:sectPr>
      </w:pPr>
    </w:p>
    <w:p w:rsidR="00D77413" w:rsidRDefault="00D77413">
      <w:pPr>
        <w:ind w:rightChars="-141" w:right="-296"/>
        <w:rPr>
          <w:rFonts w:eastAsia="ＭＳ ゴシック"/>
          <w:sz w:val="32"/>
        </w:rPr>
      </w:pPr>
    </w:p>
    <w:p w:rsidR="001973C9" w:rsidRPr="00AF2BC0" w:rsidRDefault="001973C9" w:rsidP="001973C9">
      <w:pPr>
        <w:ind w:rightChars="-141" w:right="-296"/>
        <w:rPr>
          <w:rFonts w:asciiTheme="minorEastAsia" w:eastAsiaTheme="minorEastAsia" w:hAnsiTheme="minorEastAsia"/>
          <w:sz w:val="24"/>
        </w:rPr>
      </w:pPr>
      <w:r w:rsidRPr="00AF2BC0">
        <w:rPr>
          <w:rFonts w:asciiTheme="minorEastAsia" w:eastAsiaTheme="minorEastAsia" w:hAnsiTheme="minorEastAsia" w:hint="eastAsia"/>
          <w:sz w:val="24"/>
        </w:rPr>
        <w:t>甲国に常居所を有する甲国人Xは、自らの退職金を運用する目的で、日本法人Yとの間で、Yの販売する金融商品を購入する旨の契約(「本件契約」)をYの甲国支店において締結し、本件契約の定めるところに従って、甲国において代金を支払った。本件契約では、YがXに対して、甲国において、毎月所定の配当金を支払い、10年後に代金相当額を償還することが定められており、乙国法を準拠法とする条項(「本件法選択条項」)が置かれている。しかし、Yが所定の配当金を支払わないので、Xは、Yに騙されて本件契約を締結したと考えるに至り、Yを相手取って日本で訴訟(「本件訴訟」)を提起した。本件訴訟において、Xは、本件法選択条項を含む本件契約を取り消す意思表示をするとともに、不法行為による損害賠償請求権、又は、本件契約を取り消したことを根拠とする不当利得返還請求権に基づき、代金相当額等の支払を求めている。以上の事実関係の下で、以下の独立した各問いに答えよ。</w:t>
      </w:r>
    </w:p>
    <w:p w:rsidR="00AF2BC0" w:rsidRPr="00AF2BC0" w:rsidRDefault="00AF2BC0" w:rsidP="001973C9">
      <w:pPr>
        <w:ind w:rightChars="-141" w:right="-296"/>
        <w:rPr>
          <w:rFonts w:asciiTheme="minorEastAsia" w:eastAsiaTheme="minorEastAsia" w:hAnsiTheme="minorEastAsia"/>
          <w:sz w:val="24"/>
        </w:rPr>
      </w:pPr>
    </w:p>
    <w:p w:rsidR="001973C9" w:rsidRPr="00AF2BC0" w:rsidRDefault="001973C9" w:rsidP="001973C9">
      <w:pPr>
        <w:ind w:rightChars="-141" w:right="-296"/>
        <w:rPr>
          <w:rFonts w:asciiTheme="minorEastAsia" w:eastAsiaTheme="minorEastAsia" w:hAnsiTheme="minorEastAsia"/>
          <w:sz w:val="24"/>
        </w:rPr>
      </w:pPr>
      <w:r w:rsidRPr="00AF2BC0">
        <w:rPr>
          <w:rFonts w:asciiTheme="minorEastAsia" w:eastAsiaTheme="minorEastAsia" w:hAnsiTheme="minorEastAsia" w:hint="eastAsia"/>
          <w:sz w:val="24"/>
        </w:rPr>
        <w:t>(1)　本件法選択条項の取消しは、甲国法および日本法によると認められるが、乙国法によると認められない</w:t>
      </w:r>
      <w:r w:rsidR="009F25A5">
        <w:rPr>
          <w:rFonts w:asciiTheme="minorEastAsia" w:eastAsiaTheme="minorEastAsia" w:hAnsiTheme="minorEastAsia" w:hint="eastAsia"/>
          <w:sz w:val="24"/>
        </w:rPr>
        <w:t>もの</w:t>
      </w:r>
      <w:r w:rsidRPr="00AF2BC0">
        <w:rPr>
          <w:rFonts w:asciiTheme="minorEastAsia" w:eastAsiaTheme="minorEastAsia" w:hAnsiTheme="minorEastAsia" w:hint="eastAsia"/>
          <w:sz w:val="24"/>
        </w:rPr>
        <w:t xml:space="preserve">とする。本件法選択条項の取消しが認められるか、他説にも配慮しつつ、論ぜよ。(期末試験総点80点中20点) </w:t>
      </w:r>
    </w:p>
    <w:p w:rsidR="001973C9" w:rsidRDefault="001973C9" w:rsidP="001973C9">
      <w:pPr>
        <w:ind w:rightChars="-141" w:right="-296"/>
        <w:rPr>
          <w:rFonts w:asciiTheme="minorEastAsia" w:eastAsiaTheme="minorEastAsia" w:hAnsiTheme="minorEastAsia"/>
          <w:sz w:val="24"/>
        </w:rPr>
      </w:pPr>
    </w:p>
    <w:p w:rsidR="00AF2BC0" w:rsidRPr="00AF2BC0" w:rsidRDefault="00AF2BC0" w:rsidP="001973C9">
      <w:pPr>
        <w:ind w:rightChars="-141" w:right="-296"/>
        <w:rPr>
          <w:rFonts w:asciiTheme="minorEastAsia" w:eastAsiaTheme="minorEastAsia" w:hAnsiTheme="minorEastAsia"/>
          <w:sz w:val="24"/>
        </w:rPr>
      </w:pPr>
    </w:p>
    <w:p w:rsidR="00AF2BC0" w:rsidRDefault="00AF2BC0" w:rsidP="001973C9">
      <w:pPr>
        <w:ind w:rightChars="-141" w:right="-296"/>
        <w:rPr>
          <w:rFonts w:asciiTheme="minorEastAsia" w:eastAsiaTheme="minorEastAsia" w:hAnsiTheme="minorEastAsia"/>
          <w:sz w:val="24"/>
        </w:rPr>
      </w:pPr>
    </w:p>
    <w:p w:rsidR="001973C9" w:rsidRPr="00AF2BC0" w:rsidRDefault="001973C9" w:rsidP="001973C9">
      <w:pPr>
        <w:ind w:rightChars="-141" w:right="-296"/>
        <w:rPr>
          <w:rFonts w:asciiTheme="minorEastAsia" w:eastAsiaTheme="minorEastAsia" w:hAnsiTheme="minorEastAsia"/>
          <w:sz w:val="24"/>
        </w:rPr>
      </w:pPr>
      <w:r w:rsidRPr="00AF2BC0">
        <w:rPr>
          <w:rFonts w:asciiTheme="minorEastAsia" w:eastAsiaTheme="minorEastAsia" w:hAnsiTheme="minorEastAsia" w:hint="eastAsia"/>
          <w:sz w:val="24"/>
        </w:rPr>
        <w:t xml:space="preserve">(2) 本件法選択条項が本件契約時に遡及して有効に取り消されたものと仮定する。本件契約の取消しの可否を決める法は何国法か。(期末試験総点80点中20点) </w:t>
      </w:r>
    </w:p>
    <w:p w:rsidR="001973C9" w:rsidRDefault="001973C9" w:rsidP="001973C9">
      <w:pPr>
        <w:ind w:rightChars="-141" w:right="-296"/>
        <w:rPr>
          <w:rFonts w:asciiTheme="minorEastAsia" w:eastAsiaTheme="minorEastAsia" w:hAnsiTheme="minorEastAsia"/>
          <w:sz w:val="24"/>
        </w:rPr>
      </w:pPr>
    </w:p>
    <w:p w:rsidR="00AF2BC0" w:rsidRPr="00AF2BC0" w:rsidRDefault="00AF2BC0" w:rsidP="001973C9">
      <w:pPr>
        <w:ind w:rightChars="-141" w:right="-296"/>
        <w:rPr>
          <w:rFonts w:asciiTheme="minorEastAsia" w:eastAsiaTheme="minorEastAsia" w:hAnsiTheme="minorEastAsia"/>
          <w:sz w:val="24"/>
        </w:rPr>
      </w:pPr>
    </w:p>
    <w:p w:rsidR="00AF2BC0" w:rsidRDefault="00AF2BC0" w:rsidP="001973C9">
      <w:pPr>
        <w:ind w:rightChars="-141" w:right="-296"/>
        <w:rPr>
          <w:rFonts w:asciiTheme="minorEastAsia" w:eastAsiaTheme="minorEastAsia" w:hAnsiTheme="minorEastAsia"/>
          <w:sz w:val="24"/>
        </w:rPr>
      </w:pPr>
    </w:p>
    <w:p w:rsidR="001973C9" w:rsidRPr="00AF2BC0" w:rsidRDefault="001973C9" w:rsidP="001973C9">
      <w:pPr>
        <w:ind w:rightChars="-141" w:right="-296"/>
        <w:rPr>
          <w:rFonts w:asciiTheme="minorEastAsia" w:eastAsiaTheme="minorEastAsia" w:hAnsiTheme="minorEastAsia"/>
          <w:sz w:val="24"/>
        </w:rPr>
      </w:pPr>
      <w:r w:rsidRPr="00AF2BC0">
        <w:rPr>
          <w:rFonts w:asciiTheme="minorEastAsia" w:eastAsiaTheme="minorEastAsia" w:hAnsiTheme="minorEastAsia" w:hint="eastAsia"/>
          <w:sz w:val="24"/>
        </w:rPr>
        <w:t>(3) 本件契約は、本件法選択条項を除いて、有効に取り消されたものと仮定する。不当利得返還請求権の準拠法は、何国法か。(期末試験総点80点中20点)</w:t>
      </w:r>
    </w:p>
    <w:p w:rsidR="001973C9" w:rsidRPr="00AF2BC0" w:rsidRDefault="001973C9" w:rsidP="001973C9">
      <w:pPr>
        <w:ind w:rightChars="-141" w:right="-296"/>
        <w:rPr>
          <w:rFonts w:asciiTheme="minorEastAsia" w:eastAsiaTheme="minorEastAsia" w:hAnsiTheme="minorEastAsia"/>
          <w:sz w:val="24"/>
        </w:rPr>
      </w:pPr>
    </w:p>
    <w:p w:rsidR="00AF2BC0" w:rsidRDefault="00AF2BC0" w:rsidP="001973C9">
      <w:pPr>
        <w:ind w:rightChars="-141" w:right="-296"/>
        <w:rPr>
          <w:rFonts w:asciiTheme="minorEastAsia" w:eastAsiaTheme="minorEastAsia" w:hAnsiTheme="minorEastAsia"/>
          <w:sz w:val="24"/>
        </w:rPr>
      </w:pPr>
    </w:p>
    <w:p w:rsidR="00AF2BC0" w:rsidRDefault="00AF2BC0" w:rsidP="001973C9">
      <w:pPr>
        <w:ind w:rightChars="-141" w:right="-296"/>
        <w:rPr>
          <w:rFonts w:asciiTheme="minorEastAsia" w:eastAsiaTheme="minorEastAsia" w:hAnsiTheme="minorEastAsia"/>
          <w:sz w:val="24"/>
        </w:rPr>
      </w:pPr>
    </w:p>
    <w:p w:rsidR="001973C9" w:rsidRPr="001973C9" w:rsidRDefault="001973C9" w:rsidP="001973C9">
      <w:pPr>
        <w:ind w:rightChars="-141" w:right="-296"/>
        <w:rPr>
          <w:rFonts w:eastAsia="ＭＳ ゴシック"/>
          <w:sz w:val="32"/>
        </w:rPr>
      </w:pPr>
      <w:r w:rsidRPr="00AF2BC0">
        <w:rPr>
          <w:rFonts w:asciiTheme="minorEastAsia" w:eastAsiaTheme="minorEastAsia" w:hAnsiTheme="minorEastAsia" w:hint="eastAsia"/>
          <w:sz w:val="24"/>
        </w:rPr>
        <w:t>(4) 本件法選択条項の取消しが認められないものとする。Yは、Xの有する不法行為による損害賠償請求権は時効消滅したと主張している。Yの主張の当否を決める法は何国法か。(期末試験総点80点中20点)</w:t>
      </w:r>
    </w:p>
    <w:p w:rsidR="003C46C2" w:rsidRPr="001973C9" w:rsidRDefault="003C46C2">
      <w:pPr>
        <w:ind w:rightChars="-141" w:right="-296"/>
        <w:rPr>
          <w:rFonts w:eastAsia="ＭＳ ゴシック"/>
          <w:sz w:val="32"/>
        </w:rPr>
      </w:pPr>
    </w:p>
    <w:sectPr w:rsidR="003C46C2" w:rsidRPr="001973C9" w:rsidSect="001973C9">
      <w:type w:val="continuous"/>
      <w:pgSz w:w="11906" w:h="16838" w:code="9"/>
      <w:pgMar w:top="720" w:right="926" w:bottom="1701" w:left="1134" w:header="851" w:footer="992" w:gutter="0"/>
      <w:cols w:space="5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BF6" w:rsidRDefault="006C4BF6" w:rsidP="00370CC1">
      <w:r>
        <w:separator/>
      </w:r>
    </w:p>
  </w:endnote>
  <w:endnote w:type="continuationSeparator" w:id="0">
    <w:p w:rsidR="006C4BF6" w:rsidRDefault="006C4BF6" w:rsidP="003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BF6" w:rsidRDefault="006C4BF6" w:rsidP="00370CC1">
      <w:r>
        <w:separator/>
      </w:r>
    </w:p>
  </w:footnote>
  <w:footnote w:type="continuationSeparator" w:id="0">
    <w:p w:rsidR="006C4BF6" w:rsidRDefault="006C4BF6" w:rsidP="00370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C1"/>
    <w:rsid w:val="000115B5"/>
    <w:rsid w:val="00016D54"/>
    <w:rsid w:val="00047F66"/>
    <w:rsid w:val="00061BC6"/>
    <w:rsid w:val="00074515"/>
    <w:rsid w:val="00090B3C"/>
    <w:rsid w:val="0009558F"/>
    <w:rsid w:val="000A338E"/>
    <w:rsid w:val="000C7F90"/>
    <w:rsid w:val="000E20B7"/>
    <w:rsid w:val="0012268B"/>
    <w:rsid w:val="00130151"/>
    <w:rsid w:val="0015482C"/>
    <w:rsid w:val="001862A4"/>
    <w:rsid w:val="001973C9"/>
    <w:rsid w:val="001D5584"/>
    <w:rsid w:val="001D6EAE"/>
    <w:rsid w:val="001F421C"/>
    <w:rsid w:val="002214F2"/>
    <w:rsid w:val="0022651C"/>
    <w:rsid w:val="002356B0"/>
    <w:rsid w:val="00247EA8"/>
    <w:rsid w:val="00261489"/>
    <w:rsid w:val="00267C97"/>
    <w:rsid w:val="0029660A"/>
    <w:rsid w:val="002D24BF"/>
    <w:rsid w:val="00307741"/>
    <w:rsid w:val="0032421D"/>
    <w:rsid w:val="00354C25"/>
    <w:rsid w:val="00370CC1"/>
    <w:rsid w:val="00373B7E"/>
    <w:rsid w:val="003878A0"/>
    <w:rsid w:val="0039069D"/>
    <w:rsid w:val="003932B1"/>
    <w:rsid w:val="003C1DD3"/>
    <w:rsid w:val="003C46C2"/>
    <w:rsid w:val="003D5E54"/>
    <w:rsid w:val="00433FB7"/>
    <w:rsid w:val="0046528C"/>
    <w:rsid w:val="004923CC"/>
    <w:rsid w:val="004B4D7A"/>
    <w:rsid w:val="004B6D43"/>
    <w:rsid w:val="004C1AAB"/>
    <w:rsid w:val="004D18DB"/>
    <w:rsid w:val="004E1AAF"/>
    <w:rsid w:val="004F3511"/>
    <w:rsid w:val="005023B0"/>
    <w:rsid w:val="005374F1"/>
    <w:rsid w:val="005506A2"/>
    <w:rsid w:val="0056005E"/>
    <w:rsid w:val="005672B2"/>
    <w:rsid w:val="005C445C"/>
    <w:rsid w:val="00693473"/>
    <w:rsid w:val="006B1DBC"/>
    <w:rsid w:val="006B1E9B"/>
    <w:rsid w:val="006B7370"/>
    <w:rsid w:val="006C037E"/>
    <w:rsid w:val="006C4BF6"/>
    <w:rsid w:val="006E6276"/>
    <w:rsid w:val="006E6A15"/>
    <w:rsid w:val="00704A72"/>
    <w:rsid w:val="00732DDE"/>
    <w:rsid w:val="0074088C"/>
    <w:rsid w:val="00762187"/>
    <w:rsid w:val="00785ADE"/>
    <w:rsid w:val="007911D0"/>
    <w:rsid w:val="007D6498"/>
    <w:rsid w:val="007E267F"/>
    <w:rsid w:val="00802B5B"/>
    <w:rsid w:val="0081286D"/>
    <w:rsid w:val="00816311"/>
    <w:rsid w:val="0082393E"/>
    <w:rsid w:val="008504B1"/>
    <w:rsid w:val="00871191"/>
    <w:rsid w:val="008A7A20"/>
    <w:rsid w:val="008B3E63"/>
    <w:rsid w:val="008C0179"/>
    <w:rsid w:val="008C7DBF"/>
    <w:rsid w:val="008E6694"/>
    <w:rsid w:val="008F2318"/>
    <w:rsid w:val="00910A19"/>
    <w:rsid w:val="009301B5"/>
    <w:rsid w:val="00934C1D"/>
    <w:rsid w:val="00936F59"/>
    <w:rsid w:val="0094049D"/>
    <w:rsid w:val="0096530F"/>
    <w:rsid w:val="00966E43"/>
    <w:rsid w:val="009A5651"/>
    <w:rsid w:val="009B37F4"/>
    <w:rsid w:val="009C7E82"/>
    <w:rsid w:val="009F25A5"/>
    <w:rsid w:val="009F27AA"/>
    <w:rsid w:val="00A15CA2"/>
    <w:rsid w:val="00A23211"/>
    <w:rsid w:val="00A53B2D"/>
    <w:rsid w:val="00A61492"/>
    <w:rsid w:val="00A61F64"/>
    <w:rsid w:val="00AB57D7"/>
    <w:rsid w:val="00AF2BC0"/>
    <w:rsid w:val="00AF32ED"/>
    <w:rsid w:val="00B063A7"/>
    <w:rsid w:val="00B10516"/>
    <w:rsid w:val="00B17D70"/>
    <w:rsid w:val="00B32F1E"/>
    <w:rsid w:val="00B373D7"/>
    <w:rsid w:val="00B43C12"/>
    <w:rsid w:val="00B44036"/>
    <w:rsid w:val="00B44549"/>
    <w:rsid w:val="00B72DBA"/>
    <w:rsid w:val="00B870FD"/>
    <w:rsid w:val="00B931B0"/>
    <w:rsid w:val="00BB5CAA"/>
    <w:rsid w:val="00C95D62"/>
    <w:rsid w:val="00CB70C0"/>
    <w:rsid w:val="00CD1FBD"/>
    <w:rsid w:val="00CE39FA"/>
    <w:rsid w:val="00CE5A89"/>
    <w:rsid w:val="00D406C0"/>
    <w:rsid w:val="00D574BA"/>
    <w:rsid w:val="00D77413"/>
    <w:rsid w:val="00D965BA"/>
    <w:rsid w:val="00D96627"/>
    <w:rsid w:val="00DF68CC"/>
    <w:rsid w:val="00E12928"/>
    <w:rsid w:val="00E23837"/>
    <w:rsid w:val="00E35843"/>
    <w:rsid w:val="00E56C25"/>
    <w:rsid w:val="00E57858"/>
    <w:rsid w:val="00E8583E"/>
    <w:rsid w:val="00E86A67"/>
    <w:rsid w:val="00EA2CF7"/>
    <w:rsid w:val="00EC6B29"/>
    <w:rsid w:val="00F071B0"/>
    <w:rsid w:val="00F343AA"/>
    <w:rsid w:val="00F437D7"/>
    <w:rsid w:val="00F47CE2"/>
    <w:rsid w:val="00F5040F"/>
    <w:rsid w:val="00F658C5"/>
    <w:rsid w:val="00F9734B"/>
    <w:rsid w:val="00FA0058"/>
    <w:rsid w:val="00FC0F14"/>
    <w:rsid w:val="00FC0FBA"/>
    <w:rsid w:val="00FE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4F0B8-E257-45B0-88F3-5E56A9FF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同志社大学大学院司法研究科</vt:lpstr>
      <vt:lpstr>同志社大学大学院司法研究科　</vt:lpstr>
    </vt:vector>
  </TitlesOfParts>
  <Company>同志社大学</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同志社大学大学院司法研究科</dc:title>
  <dc:creator>事務システム課</dc:creator>
  <cp:lastModifiedBy>Koji Takahashi</cp:lastModifiedBy>
  <cp:revision>2</cp:revision>
  <cp:lastPrinted>2013-07-22T01:54:00Z</cp:lastPrinted>
  <dcterms:created xsi:type="dcterms:W3CDTF">2016-03-04T12:51:00Z</dcterms:created>
  <dcterms:modified xsi:type="dcterms:W3CDTF">2016-03-04T12:51:00Z</dcterms:modified>
</cp:coreProperties>
</file>