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13" w:rsidRDefault="00D77413">
      <w:pPr>
        <w:rPr>
          <w:rFonts w:eastAsia="ＭＳ ゴシック"/>
          <w:sz w:val="36"/>
        </w:rPr>
      </w:pPr>
      <w:bookmarkStart w:id="0" w:name="_GoBack"/>
      <w:bookmarkEnd w:id="0"/>
      <w:r>
        <w:rPr>
          <w:rFonts w:eastAsia="ＭＳ ゴシック" w:hint="eastAsia"/>
          <w:sz w:val="36"/>
        </w:rPr>
        <w:t>同志社大学大学院司法研究科</w:t>
      </w:r>
    </w:p>
    <w:p w:rsidR="00D77413" w:rsidRDefault="00D77413">
      <w:pPr>
        <w:snapToGrid w:val="0"/>
        <w:rPr>
          <w:rFonts w:eastAsia="ＭＳ ゴシック"/>
          <w:sz w:val="36"/>
        </w:rPr>
      </w:pPr>
      <w:r>
        <w:rPr>
          <w:rFonts w:ascii="ＭＳ ゴシック" w:eastAsia="ＭＳ ゴシック" w:hAnsi="ＭＳ ゴシック" w:hint="eastAsia"/>
          <w:sz w:val="36"/>
        </w:rPr>
        <w:t>201</w:t>
      </w:r>
      <w:r w:rsidR="000433CB">
        <w:rPr>
          <w:rFonts w:ascii="ＭＳ ゴシック" w:eastAsia="ＭＳ ゴシック" w:hAnsi="ＭＳ ゴシック"/>
          <w:sz w:val="36"/>
        </w:rPr>
        <w:t>6</w:t>
      </w:r>
      <w:r w:rsidR="000433CB">
        <w:rPr>
          <w:rFonts w:eastAsia="ＭＳ ゴシック" w:hint="eastAsia"/>
          <w:sz w:val="36"/>
        </w:rPr>
        <w:t>年度春</w:t>
      </w:r>
      <w:r>
        <w:rPr>
          <w:rFonts w:eastAsia="ＭＳ ゴシック" w:hint="eastAsia"/>
          <w:sz w:val="36"/>
        </w:rPr>
        <w:t>学期末試験問題</w:t>
      </w:r>
    </w:p>
    <w:p w:rsidR="00D77413" w:rsidRPr="004D18DB" w:rsidRDefault="00D77413" w:rsidP="00871191">
      <w:pPr>
        <w:snapToGrid w:val="0"/>
        <w:ind w:leftChars="-135" w:left="-283" w:firstLineChars="600" w:firstLine="1200"/>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9264" behindDoc="0" locked="0" layoutInCell="1" allowOverlap="1" wp14:anchorId="6161D56A" wp14:editId="01452C69">
                <wp:simplePos x="0" y="0"/>
                <wp:positionH relativeFrom="column">
                  <wp:posOffset>0</wp:posOffset>
                </wp:positionH>
                <wp:positionV relativeFrom="paragraph">
                  <wp:posOffset>202565</wp:posOffset>
                </wp:positionV>
                <wp:extent cx="6172200" cy="0"/>
                <wp:effectExtent l="5715" t="13335" r="1333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29BD7"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"/>
            </w:pict>
          </mc:Fallback>
        </mc:AlternateContent>
      </w:r>
      <w:r>
        <w:rPr>
          <w:rFonts w:eastAsia="ＭＳ ゴシック"/>
          <w:sz w:val="36"/>
        </w:rPr>
        <w:br w:type="column"/>
      </w:r>
      <w:r w:rsidRPr="00706541">
        <w:rPr>
          <w:rFonts w:ascii="ＭＳ 明朝" w:hAnsi="ＭＳ 明朝" w:hint="eastAsia"/>
          <w:spacing w:val="50"/>
          <w:kern w:val="0"/>
          <w:sz w:val="20"/>
          <w:szCs w:val="20"/>
          <w:fitText w:val="800" w:id="203198464"/>
        </w:rPr>
        <w:lastRenderedPageBreak/>
        <w:t>科目</w:t>
      </w:r>
      <w:r w:rsidRPr="00706541">
        <w:rPr>
          <w:rFonts w:ascii="ＭＳ 明朝" w:hAnsi="ＭＳ 明朝" w:hint="eastAsia"/>
          <w:kern w:val="0"/>
          <w:sz w:val="20"/>
          <w:szCs w:val="20"/>
          <w:fitText w:val="800" w:id="203198464"/>
        </w:rPr>
        <w:t>名</w:t>
      </w:r>
      <w:r>
        <w:rPr>
          <w:rFonts w:ascii="ＭＳ 明朝" w:hAnsi="ＭＳ 明朝" w:hint="eastAsia"/>
          <w:sz w:val="20"/>
          <w:szCs w:val="20"/>
        </w:rPr>
        <w:t>：</w:t>
      </w:r>
      <w:r w:rsidR="000433CB">
        <w:rPr>
          <w:rFonts w:ascii="ＭＳ 明朝" w:hAnsi="ＭＳ 明朝" w:hint="eastAsia"/>
          <w:sz w:val="20"/>
          <w:szCs w:val="20"/>
        </w:rPr>
        <w:t>○</w:t>
      </w:r>
      <w:r w:rsidRPr="00B440F4">
        <w:rPr>
          <w:rFonts w:ascii="ＭＳ 明朝" w:hAnsi="ＭＳ 明朝" w:hint="eastAsia"/>
          <w:noProof/>
          <w:sz w:val="20"/>
          <w:szCs w:val="20"/>
        </w:rPr>
        <w:t>国際私法ＩＩ</w:t>
      </w:r>
    </w:p>
    <w:p w:rsidR="00D77413" w:rsidRDefault="00D77413" w:rsidP="00706541">
      <w:pPr>
        <w:snapToGrid w:val="0"/>
        <w:ind w:leftChars="-135" w:left="707" w:hangingChars="330" w:hanging="990"/>
        <w:rPr>
          <w:rFonts w:ascii="ＭＳ 明朝" w:hAnsi="ＭＳ 明朝"/>
          <w:sz w:val="20"/>
        </w:rPr>
      </w:pPr>
      <w:r w:rsidRPr="00706541">
        <w:rPr>
          <w:rFonts w:ascii="ＭＳ 明朝" w:hAnsi="ＭＳ 明朝" w:hint="eastAsia"/>
          <w:spacing w:val="50"/>
          <w:kern w:val="0"/>
          <w:sz w:val="20"/>
          <w:fitText w:val="800" w:id="203198720"/>
        </w:rPr>
        <w:t>担当</w:t>
      </w:r>
      <w:r w:rsidRPr="00706541">
        <w:rPr>
          <w:rFonts w:ascii="ＭＳ 明朝" w:hAnsi="ＭＳ 明朝" w:hint="eastAsia"/>
          <w:kern w:val="0"/>
          <w:sz w:val="20"/>
          <w:fitText w:val="800" w:id="203198720"/>
        </w:rPr>
        <w:t>者</w:t>
      </w:r>
      <w:r>
        <w:rPr>
          <w:rFonts w:ascii="ＭＳ 明朝" w:hAnsi="ＭＳ 明朝" w:hint="eastAsia"/>
          <w:sz w:val="20"/>
        </w:rPr>
        <w:t>：</w:t>
      </w:r>
      <w:r w:rsidRPr="00B440F4">
        <w:rPr>
          <w:rFonts w:ascii="ＭＳ 明朝" w:hAnsi="ＭＳ 明朝" w:hint="eastAsia"/>
          <w:noProof/>
          <w:sz w:val="20"/>
        </w:rPr>
        <w:t>高橋宏司</w:t>
      </w:r>
    </w:p>
    <w:p w:rsidR="00D77413" w:rsidRDefault="00D77413" w:rsidP="00B870FD">
      <w:pPr>
        <w:snapToGrid w:val="0"/>
        <w:ind w:leftChars="-135" w:left="717" w:rightChars="-109" w:right="-229" w:hangingChars="500" w:hanging="1000"/>
        <w:rPr>
          <w:rFonts w:ascii="ＭＳ 明朝" w:hAnsi="ＭＳ 明朝"/>
          <w:sz w:val="20"/>
        </w:rPr>
      </w:pPr>
      <w:r>
        <w:rPr>
          <w:rFonts w:ascii="ＭＳ 明朝" w:hAnsi="ＭＳ 明朝" w:hint="eastAsia"/>
          <w:sz w:val="20"/>
        </w:rPr>
        <w:t>持込参照：</w:t>
      </w:r>
      <w:r w:rsidRPr="00B440F4">
        <w:rPr>
          <w:rFonts w:ascii="ＭＳ 明朝" w:hAnsi="ＭＳ 明朝" w:hint="eastAsia"/>
          <w:noProof/>
          <w:sz w:val="18"/>
          <w:szCs w:val="18"/>
        </w:rPr>
        <w:t>一切不可（「司法試験用六法」を試験会場で貸与）</w:t>
      </w:r>
    </w:p>
    <w:p w:rsidR="00D77413" w:rsidRDefault="00D77413" w:rsidP="0032421D">
      <w:pPr>
        <w:snapToGrid w:val="0"/>
        <w:ind w:leftChars="-135" w:left="-283"/>
        <w:rPr>
          <w:rFonts w:ascii="ＭＳ 明朝" w:hAnsi="ＭＳ 明朝"/>
          <w:sz w:val="20"/>
        </w:rPr>
      </w:pPr>
      <w:r>
        <w:rPr>
          <w:rFonts w:ascii="ＭＳ 明朝" w:hAnsi="ＭＳ 明朝" w:hint="eastAsia"/>
          <w:sz w:val="20"/>
        </w:rPr>
        <w:t>試験時間：</w:t>
      </w:r>
      <w:r w:rsidRPr="00B440F4">
        <w:rPr>
          <w:rFonts w:ascii="ＭＳ 明朝" w:hAnsi="ＭＳ 明朝"/>
          <w:noProof/>
          <w:sz w:val="20"/>
        </w:rPr>
        <w:t>90</w:t>
      </w:r>
      <w:r>
        <w:rPr>
          <w:rFonts w:ascii="ＭＳ 明朝" w:hAnsi="ＭＳ 明朝" w:hint="eastAsia"/>
          <w:sz w:val="20"/>
        </w:rPr>
        <w:t>分</w:t>
      </w:r>
    </w:p>
    <w:p w:rsidR="00D77413" w:rsidRDefault="00D77413" w:rsidP="0032421D">
      <w:pPr>
        <w:snapToGrid w:val="0"/>
        <w:ind w:leftChars="-135" w:left="-283"/>
        <w:rPr>
          <w:rFonts w:ascii="ＭＳ 明朝" w:hAnsi="ＭＳ 明朝"/>
          <w:sz w:val="20"/>
        </w:rPr>
      </w:pPr>
      <w:r w:rsidRPr="00706541">
        <w:rPr>
          <w:rFonts w:ascii="ＭＳ 明朝" w:hAnsi="ＭＳ 明朝" w:hint="eastAsia"/>
          <w:spacing w:val="50"/>
          <w:kern w:val="0"/>
          <w:sz w:val="20"/>
          <w:fitText w:val="800" w:id="203198721"/>
        </w:rPr>
        <w:t>講評</w:t>
      </w:r>
      <w:r w:rsidRPr="00706541">
        <w:rPr>
          <w:rFonts w:ascii="ＭＳ 明朝" w:hAnsi="ＭＳ 明朝" w:hint="eastAsia"/>
          <w:kern w:val="0"/>
          <w:sz w:val="20"/>
          <w:fitText w:val="800" w:id="203198721"/>
        </w:rPr>
        <w:t>会</w:t>
      </w:r>
      <w:r>
        <w:rPr>
          <w:rFonts w:ascii="ＭＳ 明朝" w:hAnsi="ＭＳ 明朝" w:hint="eastAsia"/>
          <w:sz w:val="20"/>
        </w:rPr>
        <w:t>：</w:t>
      </w:r>
      <w:r w:rsidR="0026216B">
        <w:rPr>
          <w:rFonts w:ascii="ＭＳ 明朝" w:hAnsi="ＭＳ 明朝" w:hint="eastAsia"/>
          <w:sz w:val="20"/>
        </w:rPr>
        <w:t>なし</w:t>
      </w:r>
    </w:p>
    <w:p w:rsidR="00D77413" w:rsidRDefault="00D77413">
      <w:pPr>
        <w:ind w:rightChars="-141" w:right="-296"/>
        <w:rPr>
          <w:rFonts w:eastAsia="ＭＳ ゴシック"/>
          <w:sz w:val="32"/>
        </w:rPr>
        <w:sectPr w:rsidR="00D77413" w:rsidSect="00D77413">
          <w:footerReference w:type="default" r:id="rId9"/>
          <w:pgSz w:w="11906" w:h="16838" w:code="9"/>
          <w:pgMar w:top="720" w:right="926" w:bottom="1701" w:left="1134" w:header="851" w:footer="992" w:gutter="0"/>
          <w:pgNumType w:start="1"/>
          <w:cols w:num="2" w:space="425" w:equalWidth="0">
            <w:col w:w="4716" w:space="540"/>
            <w:col w:w="4590"/>
          </w:cols>
          <w:docGrid w:type="lines" w:linePitch="360"/>
        </w:sectPr>
      </w:pPr>
    </w:p>
    <w:p w:rsidR="008E6A54" w:rsidRDefault="008E6A54">
      <w:pPr>
        <w:ind w:rightChars="-141" w:right="-296"/>
        <w:rPr>
          <w:rFonts w:eastAsia="ＭＳ ゴシック"/>
          <w:sz w:val="32"/>
        </w:rPr>
      </w:pPr>
    </w:p>
    <w:p w:rsidR="00D82F09" w:rsidRPr="00D82F09" w:rsidRDefault="00D82F09" w:rsidP="00D82F09">
      <w:pPr>
        <w:spacing w:line="340" w:lineRule="exact"/>
        <w:ind w:firstLineChars="100" w:firstLine="220"/>
        <w:rPr>
          <w:rFonts w:ascii="メイリオ" w:eastAsia="メイリオ" w:hAnsi="メイリオ" w:cs="メイリオ"/>
          <w:sz w:val="22"/>
        </w:rPr>
      </w:pPr>
      <w:r w:rsidRPr="00D82F09">
        <w:rPr>
          <w:rFonts w:ascii="メイリオ" w:eastAsia="メイリオ" w:hAnsi="メイリオ" w:cs="メイリオ" w:hint="eastAsia"/>
          <w:sz w:val="22"/>
        </w:rPr>
        <w:t>甲国法人Aは、その甲国所在の本店と、日本法人Bの日本所在の本店との間で、売買契約(「本件売買契約」)を締結し、Bに対して代金債権(「本件債権」)を有している。本件売買契約では、甲国法が準拠法として選択されている。また、その締結時に、本件債権につき、AとBの間で、譲渡禁止特約(「本件譲渡禁止特約」)が結ばれたが、それには、準拠法の選択はない。</w:t>
      </w:r>
    </w:p>
    <w:p w:rsidR="00D82F09" w:rsidRPr="00D82F09" w:rsidRDefault="00D82F09" w:rsidP="00D82F09">
      <w:pPr>
        <w:spacing w:line="340" w:lineRule="exact"/>
        <w:ind w:firstLineChars="100" w:firstLine="220"/>
        <w:rPr>
          <w:rFonts w:ascii="メイリオ" w:eastAsia="メイリオ" w:hAnsi="メイリオ" w:cs="メイリオ"/>
          <w:sz w:val="22"/>
        </w:rPr>
      </w:pPr>
      <w:r w:rsidRPr="00D82F09">
        <w:rPr>
          <w:rFonts w:ascii="メイリオ" w:eastAsia="メイリオ" w:hAnsi="メイリオ" w:cs="メイリオ" w:hint="eastAsia"/>
          <w:sz w:val="22"/>
        </w:rPr>
        <w:t>Aは、その本店において、乙国法人Cとの間で、Cに対して、本件債権を譲渡(「本件債権譲渡」)する契約を締結した。この契約では、乙国法が準拠法として選択されている。Cは本件譲渡禁止特約につき、善意であった。Aは、Bの本店に対して、本件債権譲渡を通知(「本件債権譲渡通知」)したが、Bはそれを承諾していない。</w:t>
      </w:r>
    </w:p>
    <w:p w:rsidR="00D82F09" w:rsidRPr="00D82F09" w:rsidRDefault="00D82F09" w:rsidP="00D82F09">
      <w:pPr>
        <w:spacing w:line="340" w:lineRule="exact"/>
        <w:ind w:firstLineChars="100" w:firstLine="220"/>
        <w:rPr>
          <w:rFonts w:ascii="メイリオ" w:eastAsia="メイリオ" w:hAnsi="メイリオ" w:cs="メイリオ"/>
          <w:sz w:val="22"/>
        </w:rPr>
      </w:pPr>
      <w:r w:rsidRPr="00D82F09">
        <w:rPr>
          <w:rFonts w:ascii="メイリオ" w:eastAsia="メイリオ" w:hAnsi="メイリオ" w:cs="メイリオ" w:hint="eastAsia"/>
          <w:sz w:val="22"/>
        </w:rPr>
        <w:t>Cは、Bを相手取って、日本において訴えを提起し、本件債権</w:t>
      </w:r>
      <w:r w:rsidR="00570ED5">
        <w:rPr>
          <w:rFonts w:ascii="メイリオ" w:eastAsia="メイリオ" w:hAnsi="メイリオ" w:cs="メイリオ" w:hint="eastAsia"/>
          <w:sz w:val="22"/>
        </w:rPr>
        <w:t>の</w:t>
      </w:r>
      <w:r w:rsidR="00084F34">
        <w:rPr>
          <w:rFonts w:ascii="メイリオ" w:eastAsia="メイリオ" w:hAnsi="メイリオ" w:cs="メイリオ" w:hint="eastAsia"/>
          <w:sz w:val="22"/>
        </w:rPr>
        <w:t>弁済</w:t>
      </w:r>
      <w:r w:rsidRPr="00D82F09">
        <w:rPr>
          <w:rFonts w:ascii="メイリオ" w:eastAsia="メイリオ" w:hAnsi="メイリオ" w:cs="メイリオ" w:hint="eastAsia"/>
          <w:sz w:val="22"/>
        </w:rPr>
        <w:t>を請求した。上記の事実関係の下で、以下の各問いに答えよ。なお、各問いは、互いに独立している。</w:t>
      </w:r>
    </w:p>
    <w:p w:rsidR="00D82F09" w:rsidRPr="00D82F09" w:rsidRDefault="00D82F09" w:rsidP="00D82F09">
      <w:pPr>
        <w:spacing w:line="340" w:lineRule="exact"/>
        <w:rPr>
          <w:rFonts w:ascii="メイリオ" w:eastAsia="メイリオ" w:hAnsi="メイリオ" w:cs="メイリオ"/>
          <w:sz w:val="22"/>
        </w:rPr>
      </w:pPr>
    </w:p>
    <w:p w:rsidR="00D82F09" w:rsidRPr="00D82F09" w:rsidRDefault="00D82F09" w:rsidP="00D82F09">
      <w:pPr>
        <w:numPr>
          <w:ilvl w:val="0"/>
          <w:numId w:val="1"/>
        </w:numPr>
        <w:spacing w:line="340" w:lineRule="exact"/>
        <w:rPr>
          <w:rFonts w:ascii="メイリオ" w:eastAsia="メイリオ" w:hAnsi="メイリオ" w:cs="メイリオ"/>
          <w:sz w:val="22"/>
        </w:rPr>
      </w:pPr>
      <w:r w:rsidRPr="00D82F09">
        <w:rPr>
          <w:rFonts w:ascii="メイリオ" w:eastAsia="メイリオ" w:hAnsi="メイリオ" w:cs="メイリオ" w:hint="eastAsia"/>
          <w:sz w:val="22"/>
        </w:rPr>
        <w:t>本件譲渡禁止特約により、本件債権譲渡は、AとCの間で無効となるか。なお、甲国法の下では、譲渡禁止特約は、それをもって第三者に対抗することができるが、それに違反する債権譲渡を譲渡当事者間で無効とするものではないのに対し、乙国法の下では、譲渡禁止特約に違反する債権譲渡は、譲渡当事者間でも無効である。(期末試験総点80点中10点)</w:t>
      </w:r>
    </w:p>
    <w:p w:rsidR="00D82F09" w:rsidRPr="00D82F09" w:rsidRDefault="00D82F09" w:rsidP="00D82F09">
      <w:pPr>
        <w:spacing w:line="340" w:lineRule="exact"/>
        <w:ind w:left="600"/>
        <w:rPr>
          <w:rFonts w:ascii="メイリオ" w:eastAsia="メイリオ" w:hAnsi="メイリオ" w:cs="メイリオ"/>
          <w:sz w:val="22"/>
        </w:rPr>
      </w:pPr>
    </w:p>
    <w:p w:rsidR="00D82F09" w:rsidRPr="00D82F09" w:rsidRDefault="00D82F09" w:rsidP="00D82F09">
      <w:pPr>
        <w:numPr>
          <w:ilvl w:val="0"/>
          <w:numId w:val="1"/>
        </w:numPr>
        <w:spacing w:line="340" w:lineRule="exact"/>
        <w:rPr>
          <w:rFonts w:ascii="メイリオ" w:eastAsia="メイリオ" w:hAnsi="メイリオ" w:cs="メイリオ"/>
          <w:sz w:val="22"/>
        </w:rPr>
      </w:pPr>
      <w:r w:rsidRPr="00D82F09">
        <w:rPr>
          <w:rFonts w:ascii="メイリオ" w:eastAsia="メイリオ" w:hAnsi="メイリオ" w:cs="メイリオ" w:hint="eastAsia"/>
          <w:sz w:val="22"/>
        </w:rPr>
        <w:t>AとCの間で、本件債権譲渡が有効に成立しているとする。Cは、本件債権譲渡をもってBに対抗できるか。なお、甲国法の下では、債権譲渡は、譲渡人の債務者に対する通知により、債務者に対抗できる。これに対して、乙国法の下では、債権譲渡は、債務者の承諾がなければ、債務者に対抗できない。(期末試験総点80点中5点)</w:t>
      </w:r>
    </w:p>
    <w:p w:rsidR="00D82F09" w:rsidRPr="00D82F09" w:rsidRDefault="00D82F09" w:rsidP="00D82F09">
      <w:pPr>
        <w:spacing w:line="340" w:lineRule="exact"/>
        <w:ind w:left="600"/>
        <w:rPr>
          <w:rFonts w:ascii="メイリオ" w:eastAsia="メイリオ" w:hAnsi="メイリオ" w:cs="メイリオ"/>
          <w:sz w:val="22"/>
        </w:rPr>
      </w:pPr>
    </w:p>
    <w:p w:rsidR="00D82F09" w:rsidRPr="00D82F09" w:rsidRDefault="00D82F09" w:rsidP="00D82F09">
      <w:pPr>
        <w:numPr>
          <w:ilvl w:val="0"/>
          <w:numId w:val="1"/>
        </w:numPr>
        <w:spacing w:line="340" w:lineRule="exact"/>
        <w:rPr>
          <w:rFonts w:ascii="メイリオ" w:eastAsia="メイリオ" w:hAnsi="メイリオ" w:cs="メイリオ"/>
          <w:sz w:val="22"/>
        </w:rPr>
      </w:pPr>
      <w:r w:rsidRPr="00D82F09">
        <w:rPr>
          <w:rFonts w:ascii="メイリオ" w:eastAsia="メイリオ" w:hAnsi="メイリオ" w:cs="メイリオ" w:hint="eastAsia"/>
          <w:sz w:val="22"/>
        </w:rPr>
        <w:t>AとCの間で、本件債権譲渡が有効に成立し、本件債権譲渡のBに対する対抗要件は、本件債権譲渡通知によって具備されたとする。本件債権譲渡通知後に、BはAに対して弁済をした。Bは、本件弁済をもってCに対抗できるか。なお、譲渡禁止特約付きの債権の譲渡通知後、債務者が譲渡人に弁済した場合、甲国法の下では、当該債権の譲受人が譲渡禁止特約につき善意であったときでも、弁済をもって譲受人に対抗できるのに対し、乙国法の下では、当該債権の譲受人が譲渡禁止特約につき善意であったときには、弁済をもって譲受人に対抗できない。(期末試験総点80点中10点)</w:t>
      </w:r>
    </w:p>
    <w:p w:rsidR="00D82F09" w:rsidRPr="00D82F09" w:rsidRDefault="00D82F09" w:rsidP="00D82F09">
      <w:pPr>
        <w:spacing w:line="340" w:lineRule="exact"/>
        <w:ind w:left="600"/>
        <w:rPr>
          <w:rFonts w:ascii="メイリオ" w:eastAsia="メイリオ" w:hAnsi="メイリオ" w:cs="メイリオ"/>
          <w:sz w:val="22"/>
        </w:rPr>
      </w:pPr>
    </w:p>
    <w:p w:rsidR="00D82F09" w:rsidRPr="00D82F09" w:rsidRDefault="00D82F09" w:rsidP="00D82F09">
      <w:pPr>
        <w:numPr>
          <w:ilvl w:val="0"/>
          <w:numId w:val="1"/>
        </w:numPr>
        <w:spacing w:line="340" w:lineRule="exact"/>
        <w:rPr>
          <w:rFonts w:ascii="メイリオ" w:eastAsia="メイリオ" w:hAnsi="メイリオ" w:cs="メイリオ"/>
          <w:sz w:val="22"/>
        </w:rPr>
      </w:pPr>
      <w:r w:rsidRPr="00D82F09">
        <w:rPr>
          <w:rFonts w:ascii="メイリオ" w:eastAsia="メイリオ" w:hAnsi="メイリオ" w:cs="メイリオ" w:hint="eastAsia"/>
          <w:sz w:val="22"/>
        </w:rPr>
        <w:t>本件債権譲渡通知後に、BはA</w:t>
      </w:r>
      <w:r w:rsidR="007C1855">
        <w:rPr>
          <w:rFonts w:ascii="メイリオ" w:eastAsia="メイリオ" w:hAnsi="メイリオ" w:cs="メイリオ" w:hint="eastAsia"/>
          <w:sz w:val="22"/>
        </w:rPr>
        <w:t>に対して弁済を</w:t>
      </w:r>
      <w:r w:rsidRPr="00D82F09">
        <w:rPr>
          <w:rFonts w:ascii="メイリオ" w:eastAsia="メイリオ" w:hAnsi="メイリオ" w:cs="メイリオ" w:hint="eastAsia"/>
          <w:sz w:val="22"/>
        </w:rPr>
        <w:t>し、</w:t>
      </w:r>
      <w:r w:rsidR="00775089">
        <w:rPr>
          <w:rFonts w:ascii="メイリオ" w:eastAsia="メイリオ" w:hAnsi="メイリオ" w:cs="メイリオ" w:hint="eastAsia"/>
          <w:sz w:val="22"/>
        </w:rPr>
        <w:t>Bは、</w:t>
      </w:r>
      <w:r w:rsidRPr="00D82F09">
        <w:rPr>
          <w:rFonts w:ascii="メイリオ" w:eastAsia="メイリオ" w:hAnsi="メイリオ" w:cs="メイリオ" w:hint="eastAsia"/>
          <w:sz w:val="22"/>
        </w:rPr>
        <w:t>それをもってCに対抗できるものとする。Cは、A</w:t>
      </w:r>
      <w:r w:rsidR="007C1855">
        <w:rPr>
          <w:rFonts w:ascii="メイリオ" w:eastAsia="メイリオ" w:hAnsi="メイリオ" w:cs="メイリオ" w:hint="eastAsia"/>
          <w:sz w:val="22"/>
        </w:rPr>
        <w:t>に対して、債務不履行にもとづく</w:t>
      </w:r>
      <w:r w:rsidRPr="00D82F09">
        <w:rPr>
          <w:rFonts w:ascii="メイリオ" w:eastAsia="メイリオ" w:hAnsi="メイリオ" w:cs="メイリオ" w:hint="eastAsia"/>
          <w:sz w:val="22"/>
        </w:rPr>
        <w:t>損害賠償請求をした。準拠法は何国法となるか。(期末試験総点80点中10点)</w:t>
      </w:r>
    </w:p>
    <w:p w:rsidR="00D82F09" w:rsidRPr="00D82F09" w:rsidRDefault="00D82F09" w:rsidP="00D82F09">
      <w:pPr>
        <w:spacing w:line="340" w:lineRule="exact"/>
        <w:ind w:leftChars="400" w:left="840"/>
        <w:rPr>
          <w:rFonts w:ascii="メイリオ" w:eastAsia="メイリオ" w:hAnsi="メイリオ" w:cs="メイリオ"/>
          <w:sz w:val="22"/>
        </w:rPr>
      </w:pPr>
    </w:p>
    <w:p w:rsidR="00D82F09" w:rsidRPr="00D82F09" w:rsidRDefault="00D82F09" w:rsidP="00D82F09">
      <w:pPr>
        <w:numPr>
          <w:ilvl w:val="0"/>
          <w:numId w:val="1"/>
        </w:numPr>
        <w:spacing w:line="340" w:lineRule="exact"/>
        <w:rPr>
          <w:rFonts w:ascii="メイリオ" w:eastAsia="メイリオ" w:hAnsi="メイリオ" w:cs="メイリオ"/>
          <w:sz w:val="22"/>
        </w:rPr>
      </w:pPr>
      <w:r w:rsidRPr="00D82F09">
        <w:rPr>
          <w:rFonts w:ascii="メイリオ" w:eastAsia="メイリオ" w:hAnsi="メイリオ" w:cs="メイリオ" w:hint="eastAsia"/>
          <w:sz w:val="22"/>
        </w:rPr>
        <w:t>本件債権譲渡通知後に、BはAに対して日本で弁済をしたが、Bは、それをもってCに対抗できないものとする。Bは、Aに対して、不当利得返還請求および本件譲渡禁止特約違反の損害賠償請求をした。それぞれの請求の準拠法は何国法となるか。(期末試験総点80点中20点)</w:t>
      </w:r>
    </w:p>
    <w:p w:rsidR="00D82F09" w:rsidRPr="00D82F09" w:rsidRDefault="00D82F09" w:rsidP="00D82F09">
      <w:pPr>
        <w:spacing w:line="340" w:lineRule="exact"/>
        <w:ind w:left="600"/>
        <w:rPr>
          <w:rFonts w:ascii="メイリオ" w:eastAsia="メイリオ" w:hAnsi="メイリオ" w:cs="メイリオ"/>
          <w:sz w:val="22"/>
        </w:rPr>
      </w:pPr>
    </w:p>
    <w:p w:rsidR="00D82F09" w:rsidRPr="00D82F09" w:rsidRDefault="00D82F09" w:rsidP="00D82F09">
      <w:pPr>
        <w:numPr>
          <w:ilvl w:val="0"/>
          <w:numId w:val="1"/>
        </w:numPr>
        <w:spacing w:line="340" w:lineRule="exact"/>
        <w:rPr>
          <w:rFonts w:ascii="メイリオ" w:eastAsia="メイリオ" w:hAnsi="メイリオ" w:cs="メイリオ"/>
          <w:sz w:val="22"/>
        </w:rPr>
      </w:pPr>
      <w:r w:rsidRPr="00D82F09">
        <w:rPr>
          <w:rFonts w:ascii="メイリオ" w:eastAsia="メイリオ" w:hAnsi="メイリオ" w:cs="メイリオ" w:hint="eastAsia"/>
          <w:sz w:val="22"/>
        </w:rPr>
        <w:t>本件債権譲渡通知前に、Bは、Aとの間で、丙国法を準拠法として選択して融資契約を結び、Aに対して貸付けを行った。本件債権譲渡通知後に、Bは、Aに対する貸金返還請求権を自働債権として、本件債権との間で相殺(「本件相殺」)をする意思表示をした。</w:t>
      </w:r>
    </w:p>
    <w:p w:rsidR="00D82F09" w:rsidRPr="00D82F09" w:rsidRDefault="00D82F09" w:rsidP="00D82F09">
      <w:pPr>
        <w:spacing w:line="340" w:lineRule="exact"/>
        <w:ind w:left="600" w:firstLine="240"/>
        <w:rPr>
          <w:rFonts w:ascii="メイリオ" w:eastAsia="メイリオ" w:hAnsi="メイリオ" w:cs="メイリオ"/>
          <w:sz w:val="22"/>
        </w:rPr>
      </w:pPr>
      <w:r w:rsidRPr="00D82F09">
        <w:rPr>
          <w:rFonts w:ascii="メイリオ" w:eastAsia="メイリオ" w:hAnsi="メイリオ" w:cs="メイリオ" w:hint="eastAsia"/>
          <w:sz w:val="22"/>
        </w:rPr>
        <w:t>(</w:t>
      </w:r>
      <w:r w:rsidRPr="00D82F09">
        <w:rPr>
          <w:rFonts w:ascii="メイリオ" w:eastAsia="メイリオ" w:hAnsi="メイリオ" w:cs="メイリオ"/>
          <w:sz w:val="22"/>
        </w:rPr>
        <w:t>i</w:t>
      </w:r>
      <w:r w:rsidRPr="00D82F09">
        <w:rPr>
          <w:rFonts w:ascii="メイリオ" w:eastAsia="メイリオ" w:hAnsi="メイリオ" w:cs="メイリオ" w:hint="eastAsia"/>
          <w:sz w:val="22"/>
        </w:rPr>
        <w:t>)　本件相殺の準拠法は何国法となるか。(期末試験総点80点中10点)</w:t>
      </w:r>
    </w:p>
    <w:p w:rsidR="00D82F09" w:rsidRPr="00D82F09" w:rsidRDefault="00D82F09" w:rsidP="00D82F09">
      <w:pPr>
        <w:spacing w:line="340" w:lineRule="exact"/>
        <w:ind w:left="600" w:firstLine="240"/>
        <w:rPr>
          <w:rFonts w:ascii="メイリオ" w:eastAsia="メイリオ" w:hAnsi="メイリオ" w:cs="メイリオ"/>
          <w:sz w:val="22"/>
        </w:rPr>
      </w:pPr>
      <w:r w:rsidRPr="00D82F09">
        <w:rPr>
          <w:rFonts w:ascii="メイリオ" w:eastAsia="メイリオ" w:hAnsi="メイリオ" w:cs="メイリオ" w:hint="eastAsia"/>
          <w:sz w:val="22"/>
        </w:rPr>
        <w:t>(</w:t>
      </w:r>
      <w:r w:rsidRPr="00D82F09">
        <w:rPr>
          <w:rFonts w:ascii="メイリオ" w:eastAsia="メイリオ" w:hAnsi="メイリオ" w:cs="メイリオ"/>
          <w:sz w:val="22"/>
        </w:rPr>
        <w:t>i</w:t>
      </w:r>
      <w:r w:rsidRPr="00D82F09">
        <w:rPr>
          <w:rFonts w:ascii="メイリオ" w:eastAsia="メイリオ" w:hAnsi="メイリオ" w:cs="メイリオ" w:hint="eastAsia"/>
          <w:sz w:val="22"/>
        </w:rPr>
        <w:t>i)　AとCの間で、本件債権譲渡が有効に成立し、本件債権譲渡のBに対する対抗要件は、本件債権譲渡通知によって具備されたとする。また、AとBの間で、本件相殺は有効に成立したとする。Bは、本件相殺をもってCに対抗することができるか。なお、債権譲渡の通知後に、当該債権を受働債権として相殺する意思表示がなされた場合、甲国法の下では、譲渡通知前に取得した債権を自働債権とするときには、相殺をもって譲受人に対抗できる。これに対し、乙国法および丙国法の下では、譲渡通知前に自働債権を取得したときでも、相殺をもって譲受人に対抗できず、これは、たとえ譲渡対象債権に譲渡禁止特約が付けられていても、譲受人がそれにつき善意であれば同じである。(期末試験総点80点中5点)</w:t>
      </w:r>
    </w:p>
    <w:p w:rsidR="00D82F09" w:rsidRPr="00D82F09" w:rsidRDefault="00D82F09" w:rsidP="00D82F09">
      <w:pPr>
        <w:spacing w:line="340" w:lineRule="exact"/>
        <w:rPr>
          <w:rFonts w:ascii="メイリオ" w:eastAsia="メイリオ" w:hAnsi="メイリオ" w:cs="メイリオ"/>
          <w:sz w:val="22"/>
        </w:rPr>
      </w:pPr>
    </w:p>
    <w:p w:rsidR="00D82F09" w:rsidRPr="00D82F09" w:rsidRDefault="00D82F09" w:rsidP="00D82F09">
      <w:pPr>
        <w:pStyle w:val="a7"/>
        <w:numPr>
          <w:ilvl w:val="0"/>
          <w:numId w:val="1"/>
        </w:numPr>
        <w:spacing w:line="340" w:lineRule="exact"/>
        <w:ind w:leftChars="0"/>
        <w:rPr>
          <w:rFonts w:ascii="メイリオ" w:eastAsia="メイリオ" w:hAnsi="メイリオ" w:cs="メイリオ"/>
          <w:sz w:val="22"/>
        </w:rPr>
      </w:pPr>
      <w:r w:rsidRPr="00D82F09">
        <w:rPr>
          <w:rFonts w:ascii="メイリオ" w:eastAsia="メイリオ" w:hAnsi="メイリオ" w:cs="メイリオ" w:hint="eastAsia"/>
          <w:sz w:val="22"/>
        </w:rPr>
        <w:t>Aに対して丁国法を準拠法とする契約債権を有している丁国法人Dは、本件債権譲渡の取消しを請求して、日本で詐害行為取消訴訟を提起した。この請求の準拠法は何国法となるか。(期末試験総点80点中10点)</w:t>
      </w:r>
    </w:p>
    <w:p w:rsidR="006B428F" w:rsidRPr="00D82F09" w:rsidRDefault="006B428F" w:rsidP="00D82F09">
      <w:pPr>
        <w:ind w:rightChars="-141" w:right="-296"/>
        <w:rPr>
          <w:sz w:val="22"/>
        </w:rPr>
      </w:pPr>
    </w:p>
    <w:sectPr w:rsidR="006B428F" w:rsidRPr="00D82F09" w:rsidSect="001973C9">
      <w:type w:val="continuous"/>
      <w:pgSz w:w="11906" w:h="16838" w:code="9"/>
      <w:pgMar w:top="720" w:right="926" w:bottom="1701" w:left="1134" w:header="851" w:footer="992" w:gutter="0"/>
      <w:cols w:space="5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27" w:rsidRDefault="00BD5627" w:rsidP="00370CC1">
      <w:r>
        <w:separator/>
      </w:r>
    </w:p>
  </w:endnote>
  <w:endnote w:type="continuationSeparator" w:id="0">
    <w:p w:rsidR="00BD5627" w:rsidRDefault="00BD5627"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 C….… 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05959"/>
      <w:docPartObj>
        <w:docPartGallery w:val="Page Numbers (Bottom of Page)"/>
        <w:docPartUnique/>
      </w:docPartObj>
    </w:sdtPr>
    <w:sdtEndPr/>
    <w:sdtContent>
      <w:p w:rsidR="005D518B" w:rsidRDefault="005D518B">
        <w:pPr>
          <w:pStyle w:val="a5"/>
          <w:jc w:val="center"/>
        </w:pPr>
        <w:r>
          <w:fldChar w:fldCharType="begin"/>
        </w:r>
        <w:r>
          <w:instrText>PAGE   \* MERGEFORMAT</w:instrText>
        </w:r>
        <w:r>
          <w:fldChar w:fldCharType="separate"/>
        </w:r>
        <w:r w:rsidR="00753B6D" w:rsidRPr="00753B6D">
          <w:rPr>
            <w:noProof/>
            <w:lang w:val="ja-JP"/>
          </w:rPr>
          <w:t>1</w:t>
        </w:r>
        <w:r>
          <w:fldChar w:fldCharType="end"/>
        </w:r>
      </w:p>
    </w:sdtContent>
  </w:sdt>
  <w:p w:rsidR="005D518B" w:rsidRDefault="005D51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27" w:rsidRDefault="00BD5627" w:rsidP="00370CC1">
      <w:r>
        <w:separator/>
      </w:r>
    </w:p>
  </w:footnote>
  <w:footnote w:type="continuationSeparator" w:id="0">
    <w:p w:rsidR="00BD5627" w:rsidRDefault="00BD5627" w:rsidP="00370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5C5E"/>
    <w:multiLevelType w:val="hybridMultilevel"/>
    <w:tmpl w:val="ECF0488C"/>
    <w:lvl w:ilvl="0" w:tplc="DA3A6A1A">
      <w:start w:val="1"/>
      <w:numFmt w:val="decimal"/>
      <w:lvlText w:val="(%1)"/>
      <w:lvlJc w:val="left"/>
      <w:pPr>
        <w:ind w:left="600" w:hanging="60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C1"/>
    <w:rsid w:val="000115B5"/>
    <w:rsid w:val="00015072"/>
    <w:rsid w:val="00016D54"/>
    <w:rsid w:val="00017576"/>
    <w:rsid w:val="00035D28"/>
    <w:rsid w:val="000417D1"/>
    <w:rsid w:val="000433CB"/>
    <w:rsid w:val="00044740"/>
    <w:rsid w:val="00047F66"/>
    <w:rsid w:val="00055D6A"/>
    <w:rsid w:val="0005728B"/>
    <w:rsid w:val="00061BC6"/>
    <w:rsid w:val="0006229E"/>
    <w:rsid w:val="00066729"/>
    <w:rsid w:val="00072556"/>
    <w:rsid w:val="00074515"/>
    <w:rsid w:val="000833D5"/>
    <w:rsid w:val="00084F34"/>
    <w:rsid w:val="00090B3C"/>
    <w:rsid w:val="0009558F"/>
    <w:rsid w:val="000A338E"/>
    <w:rsid w:val="000A7BE8"/>
    <w:rsid w:val="000B50F3"/>
    <w:rsid w:val="000C7F90"/>
    <w:rsid w:val="000D13CA"/>
    <w:rsid w:val="000E20B7"/>
    <w:rsid w:val="000E2E90"/>
    <w:rsid w:val="000E391A"/>
    <w:rsid w:val="000F4DA4"/>
    <w:rsid w:val="00101011"/>
    <w:rsid w:val="0012268B"/>
    <w:rsid w:val="0012599E"/>
    <w:rsid w:val="00130151"/>
    <w:rsid w:val="001454D4"/>
    <w:rsid w:val="00150644"/>
    <w:rsid w:val="0015482C"/>
    <w:rsid w:val="001673CA"/>
    <w:rsid w:val="001740FE"/>
    <w:rsid w:val="001862A4"/>
    <w:rsid w:val="001973C9"/>
    <w:rsid w:val="001A178C"/>
    <w:rsid w:val="001A47EC"/>
    <w:rsid w:val="001D5584"/>
    <w:rsid w:val="001D6EAE"/>
    <w:rsid w:val="001E37C6"/>
    <w:rsid w:val="001E46D0"/>
    <w:rsid w:val="001E7EFF"/>
    <w:rsid w:val="001F421C"/>
    <w:rsid w:val="00202D47"/>
    <w:rsid w:val="002214F2"/>
    <w:rsid w:val="0022651C"/>
    <w:rsid w:val="0023418B"/>
    <w:rsid w:val="002341FD"/>
    <w:rsid w:val="0023487E"/>
    <w:rsid w:val="002356B0"/>
    <w:rsid w:val="00247EA8"/>
    <w:rsid w:val="00251DAF"/>
    <w:rsid w:val="00255C9E"/>
    <w:rsid w:val="00260AFC"/>
    <w:rsid w:val="00261489"/>
    <w:rsid w:val="0026216B"/>
    <w:rsid w:val="00267C97"/>
    <w:rsid w:val="00284086"/>
    <w:rsid w:val="0029660A"/>
    <w:rsid w:val="002D24BF"/>
    <w:rsid w:val="002D3CBE"/>
    <w:rsid w:val="002E75C6"/>
    <w:rsid w:val="00304B34"/>
    <w:rsid w:val="00307741"/>
    <w:rsid w:val="00312F8C"/>
    <w:rsid w:val="0032421D"/>
    <w:rsid w:val="0032537B"/>
    <w:rsid w:val="00336D54"/>
    <w:rsid w:val="00342B0A"/>
    <w:rsid w:val="00354C25"/>
    <w:rsid w:val="0035593F"/>
    <w:rsid w:val="00370CC1"/>
    <w:rsid w:val="00373B7E"/>
    <w:rsid w:val="00381C41"/>
    <w:rsid w:val="00385CED"/>
    <w:rsid w:val="003878A0"/>
    <w:rsid w:val="0039069D"/>
    <w:rsid w:val="00391DA9"/>
    <w:rsid w:val="003932B1"/>
    <w:rsid w:val="00394717"/>
    <w:rsid w:val="003C1DD3"/>
    <w:rsid w:val="003C46C2"/>
    <w:rsid w:val="003C754A"/>
    <w:rsid w:val="003D11D6"/>
    <w:rsid w:val="003D5E54"/>
    <w:rsid w:val="003D79F1"/>
    <w:rsid w:val="003E60D0"/>
    <w:rsid w:val="003F28DB"/>
    <w:rsid w:val="00403182"/>
    <w:rsid w:val="00433FB7"/>
    <w:rsid w:val="004453F8"/>
    <w:rsid w:val="004554FC"/>
    <w:rsid w:val="0046528C"/>
    <w:rsid w:val="00465841"/>
    <w:rsid w:val="004737E9"/>
    <w:rsid w:val="0048310B"/>
    <w:rsid w:val="00493016"/>
    <w:rsid w:val="004A111C"/>
    <w:rsid w:val="004B0965"/>
    <w:rsid w:val="004B4D7A"/>
    <w:rsid w:val="004B6D43"/>
    <w:rsid w:val="004B7557"/>
    <w:rsid w:val="004C1AAB"/>
    <w:rsid w:val="004C55E9"/>
    <w:rsid w:val="004D18DB"/>
    <w:rsid w:val="004D31F3"/>
    <w:rsid w:val="004E1AAF"/>
    <w:rsid w:val="004F3511"/>
    <w:rsid w:val="00500022"/>
    <w:rsid w:val="005023B0"/>
    <w:rsid w:val="00532D2F"/>
    <w:rsid w:val="005374F1"/>
    <w:rsid w:val="005506A2"/>
    <w:rsid w:val="0055548C"/>
    <w:rsid w:val="0056005E"/>
    <w:rsid w:val="005672B2"/>
    <w:rsid w:val="00570ED5"/>
    <w:rsid w:val="00580843"/>
    <w:rsid w:val="00590661"/>
    <w:rsid w:val="005947AA"/>
    <w:rsid w:val="005B257A"/>
    <w:rsid w:val="005C445C"/>
    <w:rsid w:val="005C6199"/>
    <w:rsid w:val="005D3F51"/>
    <w:rsid w:val="005D518B"/>
    <w:rsid w:val="005F3516"/>
    <w:rsid w:val="006445D6"/>
    <w:rsid w:val="00661E43"/>
    <w:rsid w:val="00676CBA"/>
    <w:rsid w:val="006823E4"/>
    <w:rsid w:val="00693473"/>
    <w:rsid w:val="006A17CC"/>
    <w:rsid w:val="006B1DBC"/>
    <w:rsid w:val="006B1E9B"/>
    <w:rsid w:val="006B428F"/>
    <w:rsid w:val="006B4407"/>
    <w:rsid w:val="006B7370"/>
    <w:rsid w:val="006C037E"/>
    <w:rsid w:val="006C124D"/>
    <w:rsid w:val="006D06B8"/>
    <w:rsid w:val="006D7514"/>
    <w:rsid w:val="006E1AF9"/>
    <w:rsid w:val="006E5E04"/>
    <w:rsid w:val="006E6276"/>
    <w:rsid w:val="006E6A15"/>
    <w:rsid w:val="006F731A"/>
    <w:rsid w:val="00704A72"/>
    <w:rsid w:val="00706541"/>
    <w:rsid w:val="007221B8"/>
    <w:rsid w:val="00725048"/>
    <w:rsid w:val="00731600"/>
    <w:rsid w:val="00731E3F"/>
    <w:rsid w:val="00732DDE"/>
    <w:rsid w:val="007376FE"/>
    <w:rsid w:val="0074088C"/>
    <w:rsid w:val="007428DA"/>
    <w:rsid w:val="00753B6D"/>
    <w:rsid w:val="00762187"/>
    <w:rsid w:val="00770AD3"/>
    <w:rsid w:val="00775089"/>
    <w:rsid w:val="00785ADE"/>
    <w:rsid w:val="007911D0"/>
    <w:rsid w:val="00797596"/>
    <w:rsid w:val="007C1855"/>
    <w:rsid w:val="007C7AD4"/>
    <w:rsid w:val="007C7E39"/>
    <w:rsid w:val="007D02EB"/>
    <w:rsid w:val="007D6498"/>
    <w:rsid w:val="007E267F"/>
    <w:rsid w:val="007F022D"/>
    <w:rsid w:val="007F22FC"/>
    <w:rsid w:val="00802B5B"/>
    <w:rsid w:val="0081286D"/>
    <w:rsid w:val="00816311"/>
    <w:rsid w:val="0082393E"/>
    <w:rsid w:val="0084057E"/>
    <w:rsid w:val="00841FDD"/>
    <w:rsid w:val="008504B1"/>
    <w:rsid w:val="00871191"/>
    <w:rsid w:val="008A15B1"/>
    <w:rsid w:val="008A699C"/>
    <w:rsid w:val="008A7A20"/>
    <w:rsid w:val="008B3E63"/>
    <w:rsid w:val="008C0179"/>
    <w:rsid w:val="008C7DBF"/>
    <w:rsid w:val="008D3E41"/>
    <w:rsid w:val="008E6694"/>
    <w:rsid w:val="008E6A54"/>
    <w:rsid w:val="008F0453"/>
    <w:rsid w:val="008F2318"/>
    <w:rsid w:val="008F45DB"/>
    <w:rsid w:val="0090342B"/>
    <w:rsid w:val="00907FAD"/>
    <w:rsid w:val="00910A19"/>
    <w:rsid w:val="009301B5"/>
    <w:rsid w:val="00933899"/>
    <w:rsid w:val="00934C1D"/>
    <w:rsid w:val="00936F59"/>
    <w:rsid w:val="0094049D"/>
    <w:rsid w:val="00941FCA"/>
    <w:rsid w:val="00942FF6"/>
    <w:rsid w:val="00943844"/>
    <w:rsid w:val="00945FBD"/>
    <w:rsid w:val="00960B74"/>
    <w:rsid w:val="0096530F"/>
    <w:rsid w:val="00966E43"/>
    <w:rsid w:val="009736F5"/>
    <w:rsid w:val="00996CD8"/>
    <w:rsid w:val="009A5651"/>
    <w:rsid w:val="009A5764"/>
    <w:rsid w:val="009B1421"/>
    <w:rsid w:val="009B37F4"/>
    <w:rsid w:val="009C7E82"/>
    <w:rsid w:val="009D3458"/>
    <w:rsid w:val="009F25A5"/>
    <w:rsid w:val="009F27AA"/>
    <w:rsid w:val="00A059F9"/>
    <w:rsid w:val="00A15A89"/>
    <w:rsid w:val="00A15CA2"/>
    <w:rsid w:val="00A21DDB"/>
    <w:rsid w:val="00A223CA"/>
    <w:rsid w:val="00A23211"/>
    <w:rsid w:val="00A24A01"/>
    <w:rsid w:val="00A276E3"/>
    <w:rsid w:val="00A30BF5"/>
    <w:rsid w:val="00A358F8"/>
    <w:rsid w:val="00A51D0C"/>
    <w:rsid w:val="00A53B2D"/>
    <w:rsid w:val="00A61492"/>
    <w:rsid w:val="00A61C95"/>
    <w:rsid w:val="00A61F64"/>
    <w:rsid w:val="00A63BBE"/>
    <w:rsid w:val="00A74C5B"/>
    <w:rsid w:val="00A9628E"/>
    <w:rsid w:val="00AB57D7"/>
    <w:rsid w:val="00AC4550"/>
    <w:rsid w:val="00AE1B74"/>
    <w:rsid w:val="00AE356C"/>
    <w:rsid w:val="00AF2982"/>
    <w:rsid w:val="00AF2BC0"/>
    <w:rsid w:val="00AF32ED"/>
    <w:rsid w:val="00B063A7"/>
    <w:rsid w:val="00B10516"/>
    <w:rsid w:val="00B17D70"/>
    <w:rsid w:val="00B276CA"/>
    <w:rsid w:val="00B32F1E"/>
    <w:rsid w:val="00B36FC8"/>
    <w:rsid w:val="00B373D7"/>
    <w:rsid w:val="00B43C12"/>
    <w:rsid w:val="00B44036"/>
    <w:rsid w:val="00B44549"/>
    <w:rsid w:val="00B51667"/>
    <w:rsid w:val="00B72DBA"/>
    <w:rsid w:val="00B73C67"/>
    <w:rsid w:val="00B7704F"/>
    <w:rsid w:val="00B848FF"/>
    <w:rsid w:val="00B870FD"/>
    <w:rsid w:val="00B873F3"/>
    <w:rsid w:val="00B931B0"/>
    <w:rsid w:val="00BB5CAA"/>
    <w:rsid w:val="00BD5627"/>
    <w:rsid w:val="00BE07C7"/>
    <w:rsid w:val="00BE2079"/>
    <w:rsid w:val="00C336BC"/>
    <w:rsid w:val="00C6437E"/>
    <w:rsid w:val="00C84A61"/>
    <w:rsid w:val="00C91FE7"/>
    <w:rsid w:val="00C95D62"/>
    <w:rsid w:val="00C96C46"/>
    <w:rsid w:val="00C96F3F"/>
    <w:rsid w:val="00CB17A6"/>
    <w:rsid w:val="00CB6D55"/>
    <w:rsid w:val="00CB70C0"/>
    <w:rsid w:val="00CC4320"/>
    <w:rsid w:val="00CC53EF"/>
    <w:rsid w:val="00CD1FBD"/>
    <w:rsid w:val="00CD6FE4"/>
    <w:rsid w:val="00CE39FA"/>
    <w:rsid w:val="00CE5A89"/>
    <w:rsid w:val="00D406C0"/>
    <w:rsid w:val="00D574BA"/>
    <w:rsid w:val="00D77413"/>
    <w:rsid w:val="00D82289"/>
    <w:rsid w:val="00D82F09"/>
    <w:rsid w:val="00D87FF6"/>
    <w:rsid w:val="00D965BA"/>
    <w:rsid w:val="00D96627"/>
    <w:rsid w:val="00DA2361"/>
    <w:rsid w:val="00DA364B"/>
    <w:rsid w:val="00DB1348"/>
    <w:rsid w:val="00DB423E"/>
    <w:rsid w:val="00DB51FB"/>
    <w:rsid w:val="00DF68CC"/>
    <w:rsid w:val="00DF6C35"/>
    <w:rsid w:val="00E029A3"/>
    <w:rsid w:val="00E12928"/>
    <w:rsid w:val="00E14461"/>
    <w:rsid w:val="00E23837"/>
    <w:rsid w:val="00E30857"/>
    <w:rsid w:val="00E316B0"/>
    <w:rsid w:val="00E35843"/>
    <w:rsid w:val="00E372B9"/>
    <w:rsid w:val="00E40505"/>
    <w:rsid w:val="00E56C25"/>
    <w:rsid w:val="00E57858"/>
    <w:rsid w:val="00E62921"/>
    <w:rsid w:val="00E8583E"/>
    <w:rsid w:val="00E86A67"/>
    <w:rsid w:val="00E91D22"/>
    <w:rsid w:val="00EA2CF7"/>
    <w:rsid w:val="00EA536D"/>
    <w:rsid w:val="00EA738B"/>
    <w:rsid w:val="00EC4A51"/>
    <w:rsid w:val="00EC6B29"/>
    <w:rsid w:val="00ED6E1C"/>
    <w:rsid w:val="00EE2423"/>
    <w:rsid w:val="00F0366E"/>
    <w:rsid w:val="00F054A4"/>
    <w:rsid w:val="00F071B0"/>
    <w:rsid w:val="00F20778"/>
    <w:rsid w:val="00F343AA"/>
    <w:rsid w:val="00F36587"/>
    <w:rsid w:val="00F437D7"/>
    <w:rsid w:val="00F43EAC"/>
    <w:rsid w:val="00F47CE2"/>
    <w:rsid w:val="00F5040F"/>
    <w:rsid w:val="00F658C5"/>
    <w:rsid w:val="00F71E88"/>
    <w:rsid w:val="00F944F0"/>
    <w:rsid w:val="00F9734B"/>
    <w:rsid w:val="00FA0058"/>
    <w:rsid w:val="00FA499C"/>
    <w:rsid w:val="00FA61A3"/>
    <w:rsid w:val="00FB27E2"/>
    <w:rsid w:val="00FC0867"/>
    <w:rsid w:val="00FC0F14"/>
    <w:rsid w:val="00FC0FBA"/>
    <w:rsid w:val="00FC2CCE"/>
    <w:rsid w:val="00FE2CFB"/>
    <w:rsid w:val="00FE6052"/>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List Paragraph"/>
    <w:basedOn w:val="a"/>
    <w:uiPriority w:val="34"/>
    <w:qFormat/>
    <w:rsid w:val="00E405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List Paragraph"/>
    <w:basedOn w:val="a"/>
    <w:uiPriority w:val="34"/>
    <w:qFormat/>
    <w:rsid w:val="00E405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7DC1-3E24-4C2D-B9B9-4FF59C54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2</cp:revision>
  <cp:lastPrinted>2013-07-22T01:54:00Z</cp:lastPrinted>
  <dcterms:created xsi:type="dcterms:W3CDTF">2016-09-21T04:38:00Z</dcterms:created>
  <dcterms:modified xsi:type="dcterms:W3CDTF">2016-09-21T04:38:00Z</dcterms:modified>
</cp:coreProperties>
</file>